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b w:val="1"/>
          <w:bCs w:val="1"/>
        </w:rPr>
        <w:t xml:space="preserve">Objetivo: igualdade de gênero para promover o </w:t>
      </w:r>
      <w:r>
        <w:rPr>
          <w:rFonts w:ascii="Arial" w:hAnsi="Arial" w:eastAsia="Arial" w:cs="Arial"/>
          <w:b w:val="1"/>
          <w:bCs w:val="1"/>
        </w:rPr>
        <w:t xml:space="preserve">desenvolvimento sustentável</w:t>
      </w:r>
    </w:p>
    <w:p>
      <w:pPr/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EDP re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iter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o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compromisso com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os Objetivos de Desenvolvimento Sustentável d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a ONU ao incorporar a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igualdade de gênero </w:t>
      </w:r>
      <w:r>
        <w:rPr>
          <w:rFonts w:ascii="Arial" w:hAnsi="Arial" w:eastAsia="Arial" w:cs="Arial"/>
          <w:sz w:val="18"/>
          <w:szCs w:val="18"/>
          <w:i w:val="1"/>
          <w:iCs w:val="1"/>
        </w:rPr>
        <w:t xml:space="preserve">às suas metas estratégicas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cabar com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discriminação e </w:t>
      </w:r>
      <w:r>
        <w:rPr>
          <w:rFonts w:ascii="Arial" w:hAnsi="Arial" w:eastAsia="Arial" w:cs="Arial"/>
          <w:sz w:val="18"/>
          <w:szCs w:val="18"/>
        </w:rPr>
        <w:t xml:space="preserve">a </w:t>
      </w:r>
      <w:r>
        <w:rPr>
          <w:rFonts w:ascii="Arial" w:hAnsi="Arial" w:eastAsia="Arial" w:cs="Arial"/>
          <w:sz w:val="18"/>
          <w:szCs w:val="18"/>
        </w:rPr>
        <w:t xml:space="preserve">violência</w:t>
      </w:r>
      <w:r>
        <w:rPr>
          <w:rFonts w:ascii="Arial" w:hAnsi="Arial" w:eastAsia="Arial" w:cs="Arial"/>
          <w:sz w:val="18"/>
          <w:szCs w:val="18"/>
        </w:rPr>
        <w:t xml:space="preserve"> de gênero, </w:t>
      </w:r>
      <w:r>
        <w:rPr>
          <w:rFonts w:ascii="Arial" w:hAnsi="Arial" w:eastAsia="Arial" w:cs="Arial"/>
          <w:sz w:val="18"/>
          <w:szCs w:val="18"/>
        </w:rPr>
        <w:t xml:space="preserve">bem como </w:t>
      </w:r>
      <w:r>
        <w:rPr>
          <w:rFonts w:ascii="Arial" w:hAnsi="Arial" w:eastAsia="Arial" w:cs="Arial"/>
          <w:sz w:val="18"/>
          <w:szCs w:val="18"/>
        </w:rPr>
        <w:t xml:space="preserve">viabilizar a</w:t>
      </w:r>
      <w:r>
        <w:rPr>
          <w:rFonts w:ascii="Arial" w:hAnsi="Arial" w:eastAsia="Arial" w:cs="Arial"/>
          <w:sz w:val="18"/>
          <w:szCs w:val="18"/>
        </w:rPr>
        <w:t xml:space="preserve"> equidade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em todos os </w:t>
      </w:r>
      <w:r>
        <w:rPr>
          <w:rFonts w:ascii="Arial" w:hAnsi="Arial" w:eastAsia="Arial" w:cs="Arial"/>
          <w:sz w:val="18"/>
          <w:szCs w:val="18"/>
        </w:rPr>
        <w:t xml:space="preserve">níveis </w:t>
      </w:r>
      <w:r>
        <w:rPr>
          <w:rFonts w:ascii="Arial" w:hAnsi="Arial" w:eastAsia="Arial" w:cs="Arial"/>
          <w:sz w:val="18"/>
          <w:szCs w:val="18"/>
        </w:rPr>
        <w:t xml:space="preserve">hierárquicos da</w:t>
      </w:r>
      <w:r>
        <w:rPr>
          <w:rFonts w:ascii="Arial" w:hAnsi="Arial" w:eastAsia="Arial" w:cs="Arial"/>
          <w:sz w:val="18"/>
          <w:szCs w:val="18"/>
        </w:rPr>
        <w:t xml:space="preserve"> vida política, econômica e pública</w:t>
      </w:r>
      <w:r>
        <w:rPr>
          <w:rFonts w:ascii="Arial" w:hAnsi="Arial" w:eastAsia="Arial" w:cs="Arial"/>
          <w:sz w:val="18"/>
          <w:szCs w:val="18"/>
        </w:rPr>
        <w:t xml:space="preserve"> para as mulheres</w:t>
      </w:r>
      <w:r>
        <w:rPr>
          <w:rFonts w:ascii="Arial" w:hAnsi="Arial" w:eastAsia="Arial" w:cs="Arial"/>
          <w:sz w:val="18"/>
          <w:szCs w:val="18"/>
        </w:rPr>
        <w:t xml:space="preserve">. Esse é </w:t>
      </w:r>
      <w:r>
        <w:rPr>
          <w:rFonts w:ascii="Arial" w:hAnsi="Arial" w:eastAsia="Arial" w:cs="Arial"/>
          <w:sz w:val="18"/>
          <w:szCs w:val="18"/>
        </w:rPr>
        <w:t xml:space="preserve">o </w:t>
      </w:r>
      <w:r>
        <w:rPr>
          <w:rFonts w:ascii="Arial" w:hAnsi="Arial" w:eastAsia="Arial" w:cs="Arial"/>
          <w:sz w:val="18"/>
          <w:szCs w:val="18"/>
        </w:rPr>
        <w:t xml:space="preserve">desafio do Objetivo de Desenvolvimento Sustentável </w:t>
      </w:r>
      <w:r>
        <w:rPr>
          <w:rFonts w:ascii="Arial" w:hAnsi="Arial" w:eastAsia="Arial" w:cs="Arial"/>
          <w:sz w:val="18"/>
          <w:szCs w:val="18"/>
        </w:rPr>
        <w:t xml:space="preserve">(ODS) </w:t>
      </w:r>
      <w:r>
        <w:rPr>
          <w:rFonts w:ascii="Arial" w:hAnsi="Arial" w:eastAsia="Arial" w:cs="Arial"/>
          <w:sz w:val="18"/>
          <w:szCs w:val="18"/>
        </w:rPr>
        <w:t xml:space="preserve">5: Igualdade de Gênero,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uma das metas do</w:t>
      </w:r>
      <w:r>
        <w:rPr>
          <w:rFonts w:ascii="Arial" w:hAnsi="Arial" w:eastAsia="Arial" w:cs="Arial"/>
          <w:sz w:val="18"/>
          <w:szCs w:val="18"/>
        </w:rPr>
        <w:t xml:space="preserve"> plano </w:t>
      </w:r>
      <w:r>
        <w:rPr>
          <w:rFonts w:ascii="Arial" w:hAnsi="Arial" w:eastAsia="Arial" w:cs="Arial"/>
          <w:sz w:val="18"/>
          <w:szCs w:val="18"/>
        </w:rPr>
        <w:t xml:space="preserve">de </w:t>
      </w:r>
      <w:r>
        <w:rPr>
          <w:rFonts w:ascii="Arial" w:hAnsi="Arial" w:eastAsia="Arial" w:cs="Arial"/>
          <w:sz w:val="18"/>
          <w:szCs w:val="18"/>
        </w:rPr>
        <w:t xml:space="preserve">ação mundial </w:t>
      </w:r>
      <w:r>
        <w:rPr>
          <w:rFonts w:ascii="Arial" w:hAnsi="Arial" w:eastAsia="Arial" w:cs="Arial"/>
          <w:sz w:val="18"/>
          <w:szCs w:val="18"/>
        </w:rPr>
        <w:t xml:space="preserve">da Organização das Nações Unidas (ONU)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para </w:t>
      </w:r>
      <w:r>
        <w:rPr>
          <w:rFonts w:ascii="Arial" w:hAnsi="Arial" w:eastAsia="Arial" w:cs="Arial"/>
          <w:sz w:val="18"/>
          <w:szCs w:val="18"/>
        </w:rPr>
        <w:t xml:space="preserve">o crescimento econômico </w:t>
      </w:r>
      <w:r>
        <w:rPr>
          <w:rFonts w:ascii="Arial" w:hAnsi="Arial" w:eastAsia="Arial" w:cs="Arial"/>
          <w:sz w:val="18"/>
          <w:szCs w:val="18"/>
        </w:rPr>
        <w:t xml:space="preserve">alinhado à </w:t>
      </w:r>
      <w:r>
        <w:rPr>
          <w:rFonts w:ascii="Arial" w:hAnsi="Arial" w:eastAsia="Arial" w:cs="Arial"/>
          <w:sz w:val="18"/>
          <w:szCs w:val="18"/>
        </w:rPr>
        <w:t xml:space="preserve">geração de impacto socioambiental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O ODS 5 é um dos oito Objetivos de Desenvolvimento Sustentável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integrados à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agenda estratégica da </w:t>
      </w:r>
      <w:r>
        <w:rPr>
          <w:rFonts w:ascii="Arial" w:hAnsi="Arial" w:eastAsia="Arial" w:cs="Arial"/>
          <w:sz w:val="18"/>
          <w:szCs w:val="18"/>
        </w:rPr>
        <w:t xml:space="preserve">EDP para criar valor, desenvolver pessoas, gerir assuntos ambientais e m</w:t>
      </w:r>
      <w:r>
        <w:rPr>
          <w:rFonts w:ascii="Arial" w:hAnsi="Arial" w:eastAsia="Arial" w:cs="Arial"/>
          <w:sz w:val="18"/>
          <w:szCs w:val="18"/>
        </w:rPr>
        <w:t xml:space="preserve">elhorar a confiança (EDP 2020). </w:t>
      </w:r>
      <w:r>
        <w:rPr>
          <w:rFonts w:ascii="Arial" w:hAnsi="Arial" w:eastAsia="Arial" w:cs="Arial"/>
          <w:sz w:val="18"/>
          <w:szCs w:val="18"/>
        </w:rPr>
        <w:t xml:space="preserve">Para tanto, 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Companhia </w:t>
      </w:r>
      <w:r>
        <w:rPr>
          <w:rFonts w:ascii="Arial" w:hAnsi="Arial" w:eastAsia="Arial" w:cs="Arial"/>
          <w:sz w:val="18"/>
          <w:szCs w:val="18"/>
        </w:rPr>
        <w:t xml:space="preserve">comprometeu-se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promover 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diversidade, garantindo a igualdade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em</w:t>
      </w:r>
      <w:r>
        <w:rPr>
          <w:rFonts w:ascii="Arial" w:hAnsi="Arial" w:eastAsia="Arial" w:cs="Arial"/>
          <w:sz w:val="18"/>
          <w:szCs w:val="18"/>
        </w:rPr>
        <w:t xml:space="preserve"> processos de contratação</w:t>
      </w:r>
      <w:r>
        <w:rPr>
          <w:rFonts w:ascii="Arial" w:hAnsi="Arial" w:eastAsia="Arial" w:cs="Arial"/>
          <w:sz w:val="18"/>
          <w:szCs w:val="18"/>
        </w:rPr>
        <w:t xml:space="preserve"> até 2020</w:t>
      </w:r>
      <w:r>
        <w:rPr>
          <w:rFonts w:ascii="Arial" w:hAnsi="Arial" w:eastAsia="Arial" w:cs="Arial"/>
          <w:sz w:val="18"/>
          <w:szCs w:val="18"/>
        </w:rPr>
        <w:t xml:space="preserve">, além de ter aderido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aos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Princí</w:t>
      </w:r>
      <w:r>
        <w:rPr>
          <w:rFonts w:ascii="Arial" w:hAnsi="Arial" w:eastAsia="Arial" w:cs="Arial"/>
          <w:sz w:val="18"/>
          <w:szCs w:val="18"/>
        </w:rPr>
        <w:t xml:space="preserve">pios de Empoderamento da Mulher -</w:t>
      </w:r>
      <w:r>
        <w:rPr>
          <w:rFonts w:ascii="Arial" w:hAnsi="Arial" w:eastAsia="Arial" w:cs="Arial"/>
          <w:sz w:val="18"/>
          <w:szCs w:val="18"/>
        </w:rPr>
        <w:t xml:space="preserve"> iniciativa da ONU para estimular a comunidade empresarial</w:t>
      </w:r>
      <w:r>
        <w:rPr>
          <w:rFonts w:ascii="Arial" w:hAnsi="Arial" w:eastAsia="Arial" w:cs="Arial"/>
          <w:sz w:val="18"/>
          <w:szCs w:val="18"/>
        </w:rPr>
        <w:t xml:space="preserve"> a </w:t>
      </w:r>
      <w:r>
        <w:rPr>
          <w:rFonts w:ascii="Arial" w:hAnsi="Arial" w:eastAsia="Arial" w:cs="Arial"/>
          <w:sz w:val="18"/>
          <w:szCs w:val="18"/>
        </w:rPr>
        <w:t xml:space="preserve">defender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valores e práticas </w:t>
      </w:r>
      <w:r>
        <w:rPr>
          <w:rFonts w:ascii="Arial" w:hAnsi="Arial" w:eastAsia="Arial" w:cs="Arial"/>
          <w:sz w:val="18"/>
          <w:szCs w:val="18"/>
        </w:rPr>
        <w:t xml:space="preserve">que reduzam a</w:t>
      </w:r>
      <w:r>
        <w:rPr>
          <w:rFonts w:ascii="Arial" w:hAnsi="Arial" w:eastAsia="Arial" w:cs="Arial"/>
          <w:sz w:val="18"/>
          <w:szCs w:val="18"/>
        </w:rPr>
        <w:t xml:space="preserve">s diferenças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entre homens e mulheres </w:t>
      </w:r>
      <w:r>
        <w:rPr>
          <w:rFonts w:ascii="Arial" w:hAnsi="Arial" w:eastAsia="Arial" w:cs="Arial"/>
          <w:sz w:val="18"/>
          <w:szCs w:val="18"/>
        </w:rPr>
        <w:t xml:space="preserve">no ambiente corporativo. 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A EDP e o ODS 5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na prática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EDP tem abordado o ODS 5 </w:t>
      </w:r>
      <w:r>
        <w:rPr>
          <w:rFonts w:ascii="Arial" w:hAnsi="Arial" w:eastAsia="Arial" w:cs="Arial"/>
          <w:sz w:val="18"/>
          <w:szCs w:val="18"/>
        </w:rPr>
        <w:t xml:space="preserve">em sua </w:t>
      </w:r>
      <w:r>
        <w:rPr>
          <w:rFonts w:ascii="Arial" w:hAnsi="Arial" w:eastAsia="Arial" w:cs="Arial"/>
          <w:sz w:val="18"/>
          <w:szCs w:val="18"/>
        </w:rPr>
        <w:t xml:space="preserve">programação de educação</w:t>
      </w:r>
      <w:r>
        <w:rPr>
          <w:rFonts w:ascii="Arial" w:hAnsi="Arial" w:eastAsia="Arial" w:cs="Arial"/>
          <w:sz w:val="18"/>
          <w:szCs w:val="18"/>
        </w:rPr>
        <w:t xml:space="preserve"> para a sustentabilidade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por exemplo, em 2017, com edição do </w:t>
      </w:r>
      <w:r>
        <w:rPr>
          <w:rFonts w:ascii="Arial" w:hAnsi="Arial" w:eastAsia="Arial" w:cs="Arial"/>
          <w:sz w:val="18"/>
          <w:szCs w:val="18"/>
        </w:rPr>
        <w:t xml:space="preserve">Sustainability</w:t>
      </w:r>
      <w:r>
        <w:rPr>
          <w:rFonts w:ascii="Arial" w:hAnsi="Arial" w:eastAsia="Arial" w:cs="Arial"/>
          <w:sz w:val="18"/>
          <w:szCs w:val="18"/>
        </w:rPr>
        <w:t xml:space="preserve"> Talk especialmente dedicada ao tema da diversidade nas organizações. </w:t>
      </w:r>
      <w:r>
        <w:rPr>
          <w:rFonts w:ascii="Arial" w:hAnsi="Arial" w:eastAsia="Arial" w:cs="Arial"/>
          <w:sz w:val="18"/>
          <w:szCs w:val="18"/>
        </w:rPr>
        <w:t xml:space="preserve">A Companhia também lançou o Programa Diversidade para mensurar a </w:t>
      </w:r>
      <w:r>
        <w:rPr>
          <w:rFonts w:ascii="Arial" w:hAnsi="Arial" w:eastAsia="Arial" w:cs="Arial"/>
          <w:sz w:val="18"/>
          <w:szCs w:val="18"/>
        </w:rPr>
        <w:t xml:space="preserve">percepção </w:t>
      </w:r>
      <w:r>
        <w:rPr>
          <w:rFonts w:ascii="Arial" w:hAnsi="Arial" w:eastAsia="Arial" w:cs="Arial"/>
          <w:sz w:val="18"/>
          <w:szCs w:val="18"/>
        </w:rPr>
        <w:t xml:space="preserve">da </w:t>
      </w:r>
      <w:r>
        <w:rPr>
          <w:rFonts w:ascii="Arial" w:hAnsi="Arial" w:eastAsia="Arial" w:cs="Arial"/>
          <w:sz w:val="18"/>
          <w:szCs w:val="18"/>
        </w:rPr>
        <w:t xml:space="preserve">igualdade de gênero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no ambiente interno EDP</w:t>
      </w:r>
      <w:r>
        <w:rPr>
          <w:rFonts w:ascii="Arial" w:hAnsi="Arial" w:eastAsia="Arial" w:cs="Arial"/>
          <w:sz w:val="18"/>
          <w:szCs w:val="18"/>
        </w:rPr>
        <w:t xml:space="preserve"> e</w:t>
      </w:r>
      <w:r>
        <w:rPr>
          <w:rFonts w:ascii="Arial" w:hAnsi="Arial" w:eastAsia="Arial" w:cs="Arial"/>
          <w:sz w:val="18"/>
          <w:szCs w:val="18"/>
        </w:rPr>
        <w:t xml:space="preserve"> promover o aumento de 15% de </w:t>
      </w:r>
      <w:r>
        <w:rPr>
          <w:rFonts w:ascii="Arial" w:hAnsi="Arial" w:eastAsia="Arial" w:cs="Arial"/>
          <w:sz w:val="18"/>
          <w:szCs w:val="18"/>
        </w:rPr>
        <w:t xml:space="preserve">mulh</w:t>
      </w:r>
      <w:r>
        <w:rPr>
          <w:rFonts w:ascii="Arial" w:hAnsi="Arial" w:eastAsia="Arial" w:cs="Arial"/>
          <w:sz w:val="18"/>
          <w:szCs w:val="18"/>
        </w:rPr>
        <w:t xml:space="preserve">eres no quadro de colaboradores</w:t>
      </w:r>
      <w:r>
        <w:rPr>
          <w:rFonts w:ascii="Arial" w:hAnsi="Arial" w:eastAsia="Arial" w:cs="Arial"/>
          <w:sz w:val="18"/>
          <w:szCs w:val="18"/>
        </w:rPr>
        <w:t xml:space="preserve">.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Por que precisamos falar sobre</w:t>
      </w: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 igualdade de gênero?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A igualdade de</w:t>
      </w:r>
      <w:r>
        <w:rPr>
          <w:rFonts w:ascii="Arial" w:hAnsi="Arial" w:eastAsia="Arial" w:cs="Arial"/>
          <w:sz w:val="18"/>
          <w:szCs w:val="18"/>
        </w:rPr>
        <w:t xml:space="preserve"> gênero não </w:t>
      </w:r>
      <w:r>
        <w:rPr>
          <w:rFonts w:ascii="Arial" w:hAnsi="Arial" w:eastAsia="Arial" w:cs="Arial"/>
          <w:sz w:val="18"/>
          <w:szCs w:val="18"/>
        </w:rPr>
        <w:t xml:space="preserve">beneficia</w:t>
      </w:r>
      <w:r>
        <w:rPr>
          <w:rFonts w:ascii="Arial" w:hAnsi="Arial" w:eastAsia="Arial" w:cs="Arial"/>
          <w:sz w:val="18"/>
          <w:szCs w:val="18"/>
        </w:rPr>
        <w:t xml:space="preserve"> apenas as </w:t>
      </w:r>
      <w:r>
        <w:rPr>
          <w:rFonts w:ascii="Arial" w:hAnsi="Arial" w:eastAsia="Arial" w:cs="Arial"/>
          <w:sz w:val="18"/>
          <w:szCs w:val="18"/>
        </w:rPr>
        <w:t xml:space="preserve">mulheres, </w:t>
      </w:r>
      <w:r>
        <w:rPr>
          <w:rFonts w:ascii="Arial" w:hAnsi="Arial" w:eastAsia="Arial" w:cs="Arial"/>
          <w:sz w:val="18"/>
          <w:szCs w:val="18"/>
        </w:rPr>
        <w:t xml:space="preserve">mas também a </w:t>
      </w:r>
      <w:r>
        <w:rPr>
          <w:rFonts w:ascii="Arial" w:hAnsi="Arial" w:eastAsia="Arial" w:cs="Arial"/>
          <w:sz w:val="18"/>
          <w:szCs w:val="18"/>
        </w:rPr>
        <w:t xml:space="preserve">economia</w:t>
      </w:r>
      <w:r>
        <w:rPr>
          <w:rFonts w:ascii="Arial" w:hAnsi="Arial" w:eastAsia="Arial" w:cs="Arial"/>
          <w:sz w:val="18"/>
          <w:szCs w:val="18"/>
        </w:rPr>
        <w:t xml:space="preserve"> e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sociedade como um todo. De acordo com </w:t>
      </w:r>
      <w:r>
        <w:rPr>
          <w:rFonts w:ascii="Arial" w:hAnsi="Arial" w:eastAsia="Arial" w:cs="Arial"/>
          <w:sz w:val="18"/>
          <w:szCs w:val="18"/>
        </w:rPr>
        <w:t xml:space="preserve">o </w:t>
      </w:r>
      <w:r>
        <w:rPr>
          <w:rFonts w:ascii="Arial" w:hAnsi="Arial" w:eastAsia="Arial" w:cs="Arial"/>
          <w:sz w:val="18"/>
          <w:szCs w:val="18"/>
        </w:rPr>
        <w:t xml:space="preserve">relatório da Organização I</w:t>
      </w:r>
      <w:r>
        <w:rPr>
          <w:rFonts w:ascii="Arial" w:hAnsi="Arial" w:eastAsia="Arial" w:cs="Arial"/>
          <w:sz w:val="18"/>
          <w:szCs w:val="18"/>
        </w:rPr>
        <w:t xml:space="preserve">nternacional do Trabalho (OIT</w:t>
      </w:r>
      <w:r>
        <w:rPr>
          <w:rFonts w:ascii="Arial" w:hAnsi="Arial" w:eastAsia="Arial" w:cs="Arial"/>
          <w:sz w:val="18"/>
          <w:szCs w:val="18"/>
        </w:rPr>
        <w:t xml:space="preserve">) de</w:t>
      </w:r>
      <w:r>
        <w:rPr>
          <w:rFonts w:ascii="Arial" w:hAnsi="Arial" w:eastAsia="Arial" w:cs="Arial"/>
          <w:sz w:val="18"/>
          <w:szCs w:val="18"/>
        </w:rPr>
        <w:t xml:space="preserve"> 2017, </w:t>
      </w:r>
      <w:r>
        <w:rPr>
          <w:rFonts w:ascii="Arial" w:hAnsi="Arial" w:eastAsia="Arial" w:cs="Arial"/>
          <w:sz w:val="18"/>
          <w:szCs w:val="18"/>
        </w:rPr>
        <w:t xml:space="preserve">reduzir as d</w:t>
      </w:r>
      <w:r>
        <w:rPr>
          <w:rFonts w:ascii="Arial" w:hAnsi="Arial" w:eastAsia="Arial" w:cs="Arial"/>
          <w:sz w:val="18"/>
          <w:szCs w:val="18"/>
        </w:rPr>
        <w:t xml:space="preserve">isparidades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entre homens e mulheres</w:t>
      </w:r>
      <w:r>
        <w:rPr>
          <w:rFonts w:ascii="Arial" w:hAnsi="Arial" w:eastAsia="Arial" w:cs="Arial"/>
          <w:sz w:val="18"/>
          <w:szCs w:val="18"/>
        </w:rPr>
        <w:t xml:space="preserve"> em 25% até 2025 poderia adicionar US$ 5,8 tr</w:t>
      </w:r>
      <w:r>
        <w:rPr>
          <w:rFonts w:ascii="Arial" w:hAnsi="Arial" w:eastAsia="Arial" w:cs="Arial"/>
          <w:sz w:val="18"/>
          <w:szCs w:val="18"/>
        </w:rPr>
        <w:t xml:space="preserve">ilhões para a </w:t>
      </w:r>
      <w:r>
        <w:rPr>
          <w:rFonts w:ascii="Arial" w:hAnsi="Arial" w:eastAsia="Arial" w:cs="Arial"/>
          <w:sz w:val="18"/>
          <w:szCs w:val="18"/>
        </w:rPr>
        <w:t xml:space="preserve">economia global</w:t>
      </w:r>
      <w:r>
        <w:rPr>
          <w:rFonts w:ascii="Arial" w:hAnsi="Arial" w:eastAsia="Arial" w:cs="Arial"/>
          <w:sz w:val="18"/>
          <w:szCs w:val="18"/>
        </w:rPr>
        <w:t xml:space="preserve">.</w:t>
      </w:r>
      <w:r>
        <w:rPr>
          <w:rFonts w:ascii="Arial" w:hAnsi="Arial" w:eastAsia="Arial" w:cs="Arial"/>
          <w:sz w:val="18"/>
          <w:szCs w:val="18"/>
        </w:rPr>
        <w:t xml:space="preserve"> No Brasil, isso representaria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um </w:t>
      </w:r>
      <w:r>
        <w:rPr>
          <w:rFonts w:ascii="Arial" w:hAnsi="Arial" w:eastAsia="Arial" w:cs="Arial"/>
          <w:sz w:val="18"/>
          <w:szCs w:val="18"/>
        </w:rPr>
        <w:t xml:space="preserve">aumento de até 382 bilhões de reais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n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PIB, além de um</w:t>
      </w:r>
      <w:r>
        <w:rPr>
          <w:rFonts w:ascii="Arial" w:hAnsi="Arial" w:eastAsia="Arial" w:cs="Arial"/>
          <w:sz w:val="18"/>
          <w:szCs w:val="18"/>
        </w:rPr>
        <w:t xml:space="preserve"> acréscimo de até 131 bilhões de reais em receita tributária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Entretanto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no Brasil e no mundo, a realidade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infelizmente </w:t>
      </w:r>
      <w:r>
        <w:rPr>
          <w:rFonts w:ascii="Arial" w:hAnsi="Arial" w:eastAsia="Arial" w:cs="Arial"/>
          <w:sz w:val="18"/>
          <w:szCs w:val="18"/>
        </w:rPr>
        <w:t xml:space="preserve">aponta para a direção oposta</w:t>
      </w:r>
      <w:r>
        <w:rPr>
          <w:rFonts w:ascii="Arial" w:hAnsi="Arial" w:eastAsia="Arial" w:cs="Arial"/>
          <w:sz w:val="18"/>
          <w:szCs w:val="18"/>
        </w:rPr>
        <w:t xml:space="preserve">. Segundo o </w:t>
      </w:r>
      <w:r>
        <w:rPr>
          <w:rFonts w:ascii="Arial" w:hAnsi="Arial" w:eastAsia="Arial" w:cs="Arial"/>
          <w:sz w:val="18"/>
          <w:szCs w:val="18"/>
        </w:rPr>
        <w:t xml:space="preserve">Fórum Econômico Mun</w:t>
      </w:r>
      <w:r>
        <w:rPr>
          <w:rFonts w:ascii="Arial" w:hAnsi="Arial" w:eastAsia="Arial" w:cs="Arial"/>
          <w:sz w:val="18"/>
          <w:szCs w:val="18"/>
        </w:rPr>
        <w:t xml:space="preserve">dial, </w:t>
      </w:r>
      <w:r>
        <w:rPr>
          <w:rFonts w:ascii="Arial" w:hAnsi="Arial" w:eastAsia="Arial" w:cs="Arial"/>
          <w:sz w:val="18"/>
          <w:szCs w:val="18"/>
        </w:rPr>
        <w:t xml:space="preserve">em 2017</w:t>
      </w:r>
      <w:r>
        <w:rPr>
          <w:rFonts w:ascii="Arial" w:hAnsi="Arial" w:eastAsia="Arial" w:cs="Arial"/>
          <w:sz w:val="18"/>
          <w:szCs w:val="18"/>
        </w:rPr>
        <w:t xml:space="preserve">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foi </w:t>
      </w:r>
      <w:r>
        <w:rPr>
          <w:rFonts w:ascii="Arial" w:hAnsi="Arial" w:eastAsia="Arial" w:cs="Arial"/>
          <w:sz w:val="18"/>
          <w:szCs w:val="18"/>
        </w:rPr>
        <w:t xml:space="preserve">registrada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</w:t>
      </w:r>
      <w:r>
        <w:rPr>
          <w:rFonts w:ascii="Arial" w:hAnsi="Arial" w:eastAsia="Arial" w:cs="Arial"/>
          <w:sz w:val="18"/>
          <w:szCs w:val="18"/>
        </w:rPr>
        <w:t xml:space="preserve"> primeira queda, em 11 anos, </w:t>
      </w:r>
      <w:r>
        <w:rPr>
          <w:rFonts w:ascii="Arial" w:hAnsi="Arial" w:eastAsia="Arial" w:cs="Arial"/>
          <w:sz w:val="18"/>
          <w:szCs w:val="18"/>
        </w:rPr>
        <w:t xml:space="preserve">do índice de igualdade global de gênero</w:t>
      </w:r>
      <w:r>
        <w:rPr>
          <w:rFonts w:ascii="Arial" w:hAnsi="Arial" w:eastAsia="Arial" w:cs="Arial"/>
          <w:sz w:val="18"/>
          <w:szCs w:val="18"/>
        </w:rPr>
        <w:t xml:space="preserve">, </w:t>
      </w:r>
      <w:r>
        <w:rPr>
          <w:rFonts w:ascii="Arial" w:hAnsi="Arial" w:eastAsia="Arial" w:cs="Arial"/>
          <w:sz w:val="18"/>
          <w:szCs w:val="18"/>
        </w:rPr>
        <w:t xml:space="preserve">criado para</w:t>
      </w:r>
      <w:r>
        <w:rPr>
          <w:rFonts w:ascii="Arial" w:hAnsi="Arial" w:eastAsia="Arial" w:cs="Arial"/>
          <w:sz w:val="18"/>
          <w:szCs w:val="18"/>
        </w:rPr>
        <w:t xml:space="preserve"> avaliar as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condições enfre</w:t>
      </w:r>
      <w:r>
        <w:rPr>
          <w:rFonts w:ascii="Arial" w:hAnsi="Arial" w:eastAsia="Arial" w:cs="Arial"/>
          <w:sz w:val="18"/>
          <w:szCs w:val="18"/>
        </w:rPr>
        <w:t xml:space="preserve">ntadas por mulheres nas áreas de</w:t>
      </w:r>
      <w:r>
        <w:rPr>
          <w:rFonts w:ascii="Arial" w:hAnsi="Arial" w:eastAsia="Arial" w:cs="Arial"/>
          <w:sz w:val="18"/>
          <w:szCs w:val="18"/>
        </w:rPr>
        <w:t xml:space="preserve"> saúde, educação, </w:t>
      </w:r>
      <w:r>
        <w:rPr>
          <w:rFonts w:ascii="Arial" w:hAnsi="Arial" w:eastAsia="Arial" w:cs="Arial"/>
          <w:sz w:val="18"/>
          <w:szCs w:val="18"/>
        </w:rPr>
        <w:t xml:space="preserve">economia e política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O</w:t>
      </w:r>
      <w:r>
        <w:rPr>
          <w:rFonts w:ascii="Arial" w:hAnsi="Arial" w:eastAsia="Arial" w:cs="Arial"/>
          <w:sz w:val="18"/>
          <w:szCs w:val="18"/>
        </w:rPr>
        <w:t xml:space="preserve"> Brasil</w:t>
      </w:r>
      <w:r>
        <w:rPr>
          <w:rFonts w:ascii="Arial" w:hAnsi="Arial" w:eastAsia="Arial" w:cs="Arial"/>
          <w:sz w:val="18"/>
          <w:szCs w:val="18"/>
        </w:rPr>
        <w:t xml:space="preserve"> ficou na 92</w:t>
      </w:r>
      <w:r>
        <w:rPr>
          <w:rFonts w:ascii="Arial" w:hAnsi="Arial" w:eastAsia="Arial" w:cs="Arial"/>
          <w:sz w:val="18"/>
          <w:szCs w:val="18"/>
        </w:rPr>
        <w:t xml:space="preserve">ª posição,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atrás de</w:t>
      </w:r>
      <w:r>
        <w:rPr>
          <w:rFonts w:ascii="Arial" w:hAnsi="Arial" w:eastAsia="Arial" w:cs="Arial"/>
          <w:sz w:val="18"/>
          <w:szCs w:val="18"/>
        </w:rPr>
        <w:t xml:space="preserve"> Argentina (33º), Colômbia (36º), Peru (48º), Uruguai (56º), Chile (63º) e México (81º)</w:t>
      </w:r>
      <w:r>
        <w:rPr>
          <w:rFonts w:ascii="Arial" w:hAnsi="Arial" w:eastAsia="Arial" w:cs="Arial"/>
          <w:sz w:val="18"/>
          <w:szCs w:val="18"/>
        </w:rPr>
        <w:t xml:space="preserve">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O que são os ODS?</w:t>
      </w:r>
      <w:r>
        <w:rPr>
          <w:rFonts w:ascii="Arial" w:hAnsi="Arial" w:eastAsia="Arial" w:cs="Arial"/>
          <w:sz w:val="18"/>
          <w:szCs w:val="18"/>
        </w:rPr>
        <w:t xml:space="preserve">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</w:rPr>
        <w:t xml:space="preserve">Os</w:t>
      </w:r>
      <w:r>
        <w:rPr>
          <w:rFonts w:ascii="Arial" w:hAnsi="Arial" w:eastAsia="Arial" w:cs="Arial"/>
          <w:sz w:val="18"/>
          <w:szCs w:val="18"/>
        </w:rPr>
        <w:t xml:space="preserve"> Objetivos de Desenvolvimento Sustentável (ODS) </w:t>
      </w:r>
      <w:r>
        <w:rPr>
          <w:rFonts w:ascii="Arial" w:hAnsi="Arial" w:eastAsia="Arial" w:cs="Arial"/>
          <w:sz w:val="18"/>
          <w:szCs w:val="18"/>
        </w:rPr>
        <w:t xml:space="preserve">da ONU são uma</w:t>
      </w:r>
      <w:r>
        <w:rPr>
          <w:rFonts w:ascii="Arial" w:hAnsi="Arial" w:eastAsia="Arial" w:cs="Arial"/>
          <w:sz w:val="18"/>
          <w:szCs w:val="18"/>
        </w:rPr>
        <w:t xml:space="preserve"> chamada global para </w:t>
      </w:r>
      <w:r>
        <w:rPr>
          <w:rFonts w:ascii="Arial" w:hAnsi="Arial" w:eastAsia="Arial" w:cs="Arial"/>
          <w:sz w:val="18"/>
          <w:szCs w:val="18"/>
        </w:rPr>
        <w:t xml:space="preserve">vencermos os </w:t>
      </w:r>
      <w:r>
        <w:rPr>
          <w:rFonts w:ascii="Arial" w:hAnsi="Arial" w:eastAsia="Arial" w:cs="Arial"/>
          <w:sz w:val="18"/>
          <w:szCs w:val="18"/>
        </w:rPr>
        <w:t xml:space="preserve">principais </w:t>
      </w:r>
      <w:r>
        <w:rPr>
          <w:rFonts w:ascii="Arial" w:hAnsi="Arial" w:eastAsia="Arial" w:cs="Arial"/>
          <w:sz w:val="18"/>
          <w:szCs w:val="18"/>
        </w:rPr>
        <w:t xml:space="preserve">desafios humanitários,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c</w:t>
      </w:r>
      <w:r>
        <w:rPr>
          <w:rFonts w:ascii="Arial" w:hAnsi="Arial" w:eastAsia="Arial" w:cs="Arial"/>
          <w:sz w:val="18"/>
          <w:szCs w:val="18"/>
        </w:rPr>
        <w:t xml:space="preserve">omo pobreza, fome, desigualdades, </w:t>
      </w:r>
      <w:r>
        <w:rPr>
          <w:rFonts w:ascii="Arial" w:hAnsi="Arial" w:eastAsia="Arial" w:cs="Arial"/>
          <w:sz w:val="18"/>
          <w:szCs w:val="18"/>
        </w:rPr>
        <w:t xml:space="preserve">mudanças climáticas</w:t>
      </w:r>
      <w:r>
        <w:rPr>
          <w:rFonts w:ascii="Arial" w:hAnsi="Arial" w:eastAsia="Arial" w:cs="Arial"/>
          <w:sz w:val="18"/>
          <w:szCs w:val="18"/>
        </w:rPr>
        <w:t xml:space="preserve">, entre outros</w:t>
      </w:r>
      <w:r>
        <w:rPr>
          <w:rFonts w:ascii="Arial" w:hAnsi="Arial" w:eastAsia="Arial" w:cs="Arial"/>
          <w:sz w:val="18"/>
          <w:szCs w:val="18"/>
        </w:rPr>
        <w:t xml:space="preserve">. </w:t>
      </w:r>
      <w:r>
        <w:rPr>
          <w:rFonts w:ascii="Arial" w:hAnsi="Arial" w:eastAsia="Arial" w:cs="Arial"/>
          <w:sz w:val="18"/>
          <w:szCs w:val="18"/>
        </w:rPr>
        <w:t xml:space="preserve">Neste contexto, a </w:t>
      </w:r>
      <w:r>
        <w:rPr>
          <w:rFonts w:ascii="Arial" w:hAnsi="Arial" w:eastAsia="Arial" w:cs="Arial"/>
          <w:sz w:val="18"/>
          <w:szCs w:val="18"/>
        </w:rPr>
        <w:t xml:space="preserve">população </w:t>
      </w:r>
      <w:r>
        <w:rPr>
          <w:rFonts w:ascii="Arial" w:hAnsi="Arial" w:eastAsia="Arial" w:cs="Arial"/>
          <w:sz w:val="18"/>
          <w:szCs w:val="18"/>
        </w:rPr>
        <w:t xml:space="preserve">mundial, </w:t>
      </w:r>
      <w:r>
        <w:rPr>
          <w:rFonts w:ascii="Arial" w:hAnsi="Arial" w:eastAsia="Arial" w:cs="Arial"/>
          <w:sz w:val="18"/>
          <w:szCs w:val="18"/>
        </w:rPr>
        <w:t xml:space="preserve">o poder público e o setor </w:t>
      </w:r>
      <w:r>
        <w:rPr>
          <w:rFonts w:ascii="Arial" w:hAnsi="Arial" w:eastAsia="Arial" w:cs="Arial"/>
          <w:sz w:val="18"/>
          <w:szCs w:val="18"/>
        </w:rPr>
        <w:t xml:space="preserve">privado</w:t>
      </w:r>
      <w:r>
        <w:rPr>
          <w:rFonts w:ascii="Arial" w:hAnsi="Arial" w:eastAsia="Arial" w:cs="Arial"/>
          <w:sz w:val="18"/>
          <w:szCs w:val="18"/>
        </w:rPr>
        <w:t xml:space="preserve"> </w:t>
      </w:r>
      <w:r>
        <w:rPr>
          <w:rFonts w:ascii="Arial" w:hAnsi="Arial" w:eastAsia="Arial" w:cs="Arial"/>
          <w:sz w:val="18"/>
          <w:szCs w:val="18"/>
        </w:rPr>
        <w:t xml:space="preserve">devem atuar como </w:t>
      </w:r>
      <w:r>
        <w:rPr>
          <w:rFonts w:ascii="Arial" w:hAnsi="Arial" w:eastAsia="Arial" w:cs="Arial"/>
          <w:sz w:val="18"/>
          <w:szCs w:val="18"/>
        </w:rPr>
        <w:t xml:space="preserve">agentes da transformação </w:t>
      </w:r>
      <w:r>
        <w:rPr>
          <w:rFonts w:ascii="Arial" w:hAnsi="Arial" w:eastAsia="Arial" w:cs="Arial"/>
          <w:sz w:val="18"/>
          <w:szCs w:val="18"/>
        </w:rPr>
        <w:t xml:space="preserve">em busca do</w:t>
      </w:r>
      <w:r>
        <w:rPr>
          <w:rFonts w:ascii="Arial" w:hAnsi="Arial" w:eastAsia="Arial" w:cs="Arial"/>
          <w:sz w:val="18"/>
          <w:szCs w:val="18"/>
        </w:rPr>
        <w:t xml:space="preserve"> desenvolvimento sustentável até 2030. </w:t>
      </w:r>
    </w:p>
    <w:p>
      <w:pPr>
        <w:jc w:val="both"/>
      </w:pPr>
      <w:r>
        <w:rPr>
          <w:rFonts w:ascii="Arial" w:hAnsi="Arial" w:eastAsia="Arial" w:cs="Arial"/>
          <w:sz w:val="18"/>
          <w:szCs w:val="18"/>
          <w:b w:val="1"/>
          <w:bCs w:val="1"/>
        </w:rPr>
        <w:t xml:space="preserve">Para saber mais sobre os ODS:</w:t>
      </w:r>
      <w:r>
        <w:rPr>
          <w:rFonts w:ascii="Arial" w:hAnsi="Arial" w:eastAsia="Arial" w:cs="Arial"/>
          <w:sz w:val="18"/>
          <w:szCs w:val="18"/>
        </w:rPr>
        <w:t xml:space="preserve"> acompanhe os canais de comunicação e se engaje nas ações de sustentabilidade da EDP!</w:t>
      </w:r>
    </w:p>
    <w:sectPr>
      <w:pgSz w:orient="portrait" w:w="11906" w:h="16838"/>
      <w:pgMar w:top="1417" w:right="1701" w:bottom="1417" w:left="1701" w:header="708" w:footer="708" w:gutter="0"/>
      <w:cols w:num="1" w:space="708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nsid w:val="AA839E68"/>
    <w:multiLevelType w:val="hybridMultilevel"/>
    <w:lvl w:ilvl="0">
      <w:start w:val="1"/>
      <w:numFmt w:val="bullet"/>
      <w:suff w:val="tab"/>
      <w:lvlText w:val=""/>
      <w:lvlJc w:val="left"/>
      <w:pPr>
        <w:tabs>
          <w:tab w:val="num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tab"/>
      <w:lvlText w:val=""/>
      <w:lvlJc w:val="left"/>
      <w:pPr>
        <w:tabs>
          <w:tab w:val="num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"/>
      <w:lvlJc w:val="left"/>
      <w:pPr>
        <w:tabs>
          <w:tab w:val="num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tab"/>
      <w:lvlText w:val=""/>
      <w:lvlJc w:val="left"/>
      <w:pPr>
        <w:tabs>
          <w:tab w:val="num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"/>
      <w:lvlJc w:val="left"/>
      <w:pPr>
        <w:tabs>
          <w:tab w:val="num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tab"/>
      <w:lvlText w:val=""/>
      <w:lvlJc w:val="left"/>
      <w:pPr>
        <w:tabs>
          <w:tab w:val="num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8EB1AA40"/>
    <w:multiLevelType w:val="hybridMultilevel"/>
    <w:lvl w:ilvl="0">
      <w:start w:val="1"/>
      <w:numFmt w:val="bullet"/>
      <w:suff w:val="tab"/>
      <w:lvlText w:val=""/>
      <w:lvlJc w:val="left"/>
      <w:pPr>
        <w:tabs>
          <w:tab w:val="num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suff w:val="tab"/>
      <w:lvlText w:val=""/>
      <w:lvlJc w:val="left"/>
      <w:pPr>
        <w:tabs>
          <w:tab w:val="num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"/>
      <w:lvlJc w:val="left"/>
      <w:pPr>
        <w:tabs>
          <w:tab w:val="num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suff w:val="tab"/>
      <w:lvlText w:val=""/>
      <w:lvlJc w:val="left"/>
      <w:pPr>
        <w:tabs>
          <w:tab w:val="num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"/>
      <w:lvlJc w:val="left"/>
      <w:pPr>
        <w:tabs>
          <w:tab w:val="num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suff w:val="tab"/>
      <w:lvlText w:val=""/>
      <w:lvlJc w:val="left"/>
      <w:pPr>
        <w:tabs>
          <w:tab w:val="num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/>
        </w:tabs>
        <w:ind w:left="6480" w:hanging="360"/>
      </w:pPr>
      <w:rPr>
        <w:rFonts w:ascii="Wingdings" w:hAnsi="Wingdings" w:cs="Wingdings" w:hint="default"/>
      </w:rPr>
    </w:lvl>
  </w:abstractNum>
  <w:num w:numId="9">
    <w:abstractNumId w:val="9"/>
  </w:num>
  <w:num w:numId="10">
    <w:abstractNumId w:val="10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pt-BR" w:eastAsia="ja-JP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2"/>
        <w:szCs w:val="22"/>
        <w:lang w:val="pt-BR" w:eastAsia="ja-JP" w:bidi="x-none"/>
      </w:rPr>
    </w:rPrDefault>
  </w:docDefaults>
  <w:style w:type="paragraph" w:default="1" w:styleId="Normal">
    <w:name w:val="Normal"/>
    <w:pPr>
      <w:spacing w:after="160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otnote Reference"/>
    <w:rPr>
      <w:vertAlign w:val="superscript"/>
    </w:rPr>
  </w:style>
  <w:style w:type="paragraph" w:styleId="Heading1">
    <w:link w:val="Heading1Char"/>
    <w:name w:val="heading 1"/>
    <w:basedOn w:val="Normal"/>
    <w:pPr>
      <w:spacing w:before="100" w:after="100"/>
    </w:pPr>
    <w:rPr>
      <w:rFonts w:ascii="Times New Roman" w:hAnsi="Times New Roman" w:eastAsia="Times New Roman" w:cs="Times New Roman"/>
      <w:sz w:val="48"/>
      <w:szCs w:val="48"/>
      <w:b w:val="1"/>
      <w:b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paragraph" w:styleId="Normal (Web)">
    <w:name w:val="Normal (Web)"/>
    <w:basedOn w:val="Normal"/>
    <w:pPr>
      <w:spacing w:before="100" w:after="100"/>
    </w:pPr>
    <w:rPr>
      <w:rFonts w:ascii="Times New Roman" w:hAnsi="Times New Roman" w:eastAsia="Times New Roman" w:cs="Times New Roman"/>
      <w:sz w:val="24"/>
      <w:szCs w:val="24"/>
    </w:rPr>
  </w:style>
  <w:style w:type="character">
    <w:name w:val="Strong"/>
    <w:rPr>
      <w:b w:val="1"/>
      <w:bCs w:val="1"/>
    </w:rPr>
  </w:style>
  <w:style w:type="character">
    <w:name w:val="Hyperlink"/>
    <w:rPr>
      <w:color w:val="0000FF"/>
      <w:u w:val="single"/>
    </w:rPr>
  </w:style>
  <w:style w:type="character">
    <w:name w:val="Título 1 Char"/>
    <w:rPr>
      <w:rFonts w:ascii="Times New Roman" w:hAnsi="Times New Roman" w:eastAsia="Times New Roman" w:cs="Times New Roman"/>
      <w:sz w:val="48"/>
      <w:szCs w:val="48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2018-01-02T11:48:00+00:00</dcterms:created>
  <dcterms:modified xsi:type="dcterms:W3CDTF">2018-01-11T21:47:00+00:00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